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Burns: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Nawaz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Khalilzad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correspondent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Khalilzad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Khalilzad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Kandahar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Lashkar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deterioration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emboldened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ceasefire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airstrikes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endangered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Kandahar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Troika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admonition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Frerichs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Bashir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Noorzai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Noorzai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Frerichs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affiliated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Frerichs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conquer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admonish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pragmatism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pragmatic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Ghani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demobilization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Rohde: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Khalilzad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evacuation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evacuated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Evacuating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evacuation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Haqqani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Kabul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Kabul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Burns: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Zalmay Khalilza...: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Burns: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Khalilzad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Burns: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00:30:24]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Nicholas Burns: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2021 Aspen Security Forum  A Conversation with Ambassador Zalmay Khali...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