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Neuberger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Pulitzer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Anja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espionage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even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threat.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diplomatic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00:07:23]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Hafnium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Hafnium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Hafnium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espionage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okay?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there've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friend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00:15:53]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bilateral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 important step.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course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of course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 think rather than limitation,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ransomware,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FSB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up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00:24:32]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in the few minutes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already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reluctant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ransomware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ransomware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But you've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cases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you has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operate.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Absolutely.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it's been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anonymity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all ransomware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you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David.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20,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Harman: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Harman: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Yes,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Harman: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Greetings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00:35:26]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is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Sanger: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ransomware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inaugural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Wofford: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ask you a question.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workarounds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Nunn: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Nunn: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weapons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weapons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unilaterally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Pentagon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submarines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Nunn: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Thank you. Anne,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there?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Thank you very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Anne,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agree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Anja.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Munish?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Munish Walther-...: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Hello. I'm trying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Anne,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Neuberger: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cybersecurity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 Aspen Security Forum  The View from the NSC Conversation with Whi...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